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Ogłoszenie nr 546091-N-2017 z dnia 2017-07-06 r.  </w:t>
      </w:r>
    </w:p>
    <w:p w:rsidR="006030C3" w:rsidRPr="006030C3" w:rsidRDefault="006030C3" w:rsidP="006030C3">
      <w:pPr>
        <w:spacing w:after="0" w:line="360" w:lineRule="auto"/>
        <w:jc w:val="both"/>
        <w:rPr>
          <w:rFonts w:ascii="Trebuchet MS" w:hAnsi="Trebuchet MS"/>
          <w:sz w:val="20"/>
          <w:szCs w:val="20"/>
        </w:rPr>
      </w:pP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Samodzielny Publiczny Szpital Kliniczny nr 6 Śląskiego Uniwersytetu Medycznego w Katowicach Górnośląskie Centrum Zdrowia Dziecka im. Jana Pawła II: „Wymiana dźwigu towarowo-osobowego w budynku wysokim oraz wymiana dźwigu osobowego w segmencie K7 Samodzielnego Publicznego Szpitala Klinicznego Nr 6 Śląskiego Uniwersytetu Medycznego w Katowicach Górnośląskie Centrum Zdrowia Dziecka im. Jana Pawła II w celu dostosowania do potrzeb osób niepełnosprawnych”,</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OGŁOSZENIE O</w:t>
      </w:r>
      <w:r>
        <w:rPr>
          <w:rFonts w:ascii="Trebuchet MS" w:hAnsi="Trebuchet MS"/>
          <w:sz w:val="20"/>
          <w:szCs w:val="20"/>
        </w:rPr>
        <w:t xml:space="preserve"> ZAMÓWIENIU - Roboty budowlane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Zamieszczanie ogłosze</w:t>
      </w:r>
      <w:r>
        <w:rPr>
          <w:rFonts w:ascii="Trebuchet MS" w:hAnsi="Trebuchet MS"/>
          <w:sz w:val="20"/>
          <w:szCs w:val="20"/>
        </w:rPr>
        <w:t xml:space="preserve">nia: Zamieszczanie obowiązkowe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Ogłoszenie d</w:t>
      </w:r>
      <w:r>
        <w:rPr>
          <w:rFonts w:ascii="Trebuchet MS" w:hAnsi="Trebuchet MS"/>
          <w:sz w:val="20"/>
          <w:szCs w:val="20"/>
        </w:rPr>
        <w:t xml:space="preserve">otyczy: Zamówienia publicznego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Zamówienie dotyczy projektu lub programu współfinansowanego</w:t>
      </w:r>
      <w:r>
        <w:rPr>
          <w:rFonts w:ascii="Trebuchet MS" w:hAnsi="Trebuchet MS"/>
          <w:sz w:val="20"/>
          <w:szCs w:val="20"/>
        </w:rPr>
        <w:t xml:space="preserve"> ze środków Unii Europejskiej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Nazwa projektu lub programu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w:t>
      </w:r>
      <w:r>
        <w:rPr>
          <w:rFonts w:ascii="Trebuchet MS" w:hAnsi="Trebuchet MS"/>
          <w:sz w:val="20"/>
          <w:szCs w:val="20"/>
        </w:rPr>
        <w:t xml:space="preserve">h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Należy podać minimalny procentowy wskaźnik zatrudnienia osób należących do jednej lub więcej kategorii, o których mowa w art. 22 ust. 2 ustawy </w:t>
      </w:r>
      <w:proofErr w:type="spellStart"/>
      <w:r w:rsidRPr="006030C3">
        <w:rPr>
          <w:rFonts w:ascii="Trebuchet MS" w:hAnsi="Trebuchet MS"/>
          <w:sz w:val="20"/>
          <w:szCs w:val="20"/>
        </w:rPr>
        <w:t>Pzp</w:t>
      </w:r>
      <w:proofErr w:type="spellEnd"/>
      <w:r w:rsidRPr="006030C3">
        <w:rPr>
          <w:rFonts w:ascii="Trebuchet MS" w:hAnsi="Trebuchet MS"/>
          <w:sz w:val="20"/>
          <w:szCs w:val="20"/>
        </w:rPr>
        <w:t xml:space="preserve">, nie mniejszy niż 30%, osób zatrudnionych przez zakłady pracy chronionej lub wykonawców albo ich jednostki (w %)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SEKCJA I: ZAMAWIAJĄCY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Postępowanie przep</w:t>
      </w:r>
      <w:r>
        <w:rPr>
          <w:rFonts w:ascii="Trebuchet MS" w:hAnsi="Trebuchet MS"/>
          <w:sz w:val="20"/>
          <w:szCs w:val="20"/>
        </w:rPr>
        <w:t xml:space="preserve">rowadza centralny zamawiający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Postępowanie przeprowadza podmiot, któremu zamawiający powierzył/powierzyli</w:t>
      </w:r>
      <w:r>
        <w:rPr>
          <w:rFonts w:ascii="Trebuchet MS" w:hAnsi="Trebuchet MS"/>
          <w:sz w:val="20"/>
          <w:szCs w:val="20"/>
        </w:rPr>
        <w:t xml:space="preserve"> przeprowadzenie postępowania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Informacje na temat podmiotu któremu zamawiający powierzył/powierzyli prowadzenie postępowania: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Postępowanie jest przeprowadzan</w:t>
      </w:r>
      <w:r>
        <w:rPr>
          <w:rFonts w:ascii="Trebuchet MS" w:hAnsi="Trebuchet MS"/>
          <w:sz w:val="20"/>
          <w:szCs w:val="20"/>
        </w:rPr>
        <w:t xml:space="preserve">e wspólnie przez zamawiających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Jeżeli tak, należy wymienić zamawiających, którzy wspólnie przeprowadzają postępowanie oraz podać adresy ich siedzib, krajowe numery identyfikacyjne oraz osoby do kontakt</w:t>
      </w:r>
      <w:r>
        <w:rPr>
          <w:rFonts w:ascii="Trebuchet MS" w:hAnsi="Trebuchet MS"/>
          <w:sz w:val="20"/>
          <w:szCs w:val="20"/>
        </w:rPr>
        <w:t xml:space="preserve">ów wraz z danymi do kontaktów: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Postępowanie jest przeprowadzane wspólnie z zamawiającymi z innych państw cz</w:t>
      </w:r>
      <w:r>
        <w:rPr>
          <w:rFonts w:ascii="Trebuchet MS" w:hAnsi="Trebuchet MS"/>
          <w:sz w:val="20"/>
          <w:szCs w:val="20"/>
        </w:rPr>
        <w:t xml:space="preserve">łonkowskich Unii Europejskiej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W przypadku przeprowadzania postępowania wspólnie z zamawiającymi z innych państw członkowskich Unii Europejskiej – mające zastosowanie krajowe prawo zamówień publicznych: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lastRenderedPageBreak/>
        <w:t xml:space="preserve">Informacje dodatkowe: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 1) NAZWA I ADRES:  Samodzielny Publiczny Szpital Kliniczny nr 6 Śląskiego Uniwersytetu Medycznego w Katowicach Górnośląskie Centrum Zdrowia Dziecka im. Jana Pawła II, krajowy numer identyfikacyjny 001415000, ul. ul. Medyków  16  , 40-752  Katowice, woj. śląskie, państwo Polska, tel. (032)2071532, , e-mail zp@gczd.katowice.pl, , faks (032)2071546.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Adres strony internetowej (URL): www.gczd.katowice.pl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Adres profilu nabywcy: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Adres strony internetowej pod którym można uzyskać dostęp do narzędzi i urządzeń lub formatów plików, </w:t>
      </w:r>
      <w:r>
        <w:rPr>
          <w:rFonts w:ascii="Trebuchet MS" w:hAnsi="Trebuchet MS"/>
          <w:sz w:val="20"/>
          <w:szCs w:val="20"/>
        </w:rPr>
        <w:t xml:space="preserve">które nie są ogólnie dostępne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I. 2) RODZAJ ZAMAWIAJĄCE</w:t>
      </w:r>
      <w:r>
        <w:rPr>
          <w:rFonts w:ascii="Trebuchet MS" w:hAnsi="Trebuchet MS"/>
          <w:sz w:val="20"/>
          <w:szCs w:val="20"/>
        </w:rPr>
        <w:t xml:space="preserve">GO:  Podmiot prawa publicznego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I.3) WSPÓLNE UDZIELANIE ZAMÓWIENIA (jeżeli dotyczy):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I.4) KOMUNIKACJA: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Nieograniczony, pełny i bezpośredni dostęp do dokumentów z postępowania można uzyskać pod adresem (URL)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www.gczd.katowice.pl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Adres strony internetowej, na której zamieszczona będzie specyfikacja istotnych warunków zamówienia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www.gczd.katowice.pl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Dostęp do dokumentów z postępowania jest ograniczony - więcej informacji można uzyskać pod adresem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Oferty lub wnioski o dopuszczenie do udziału w postępowaniu należy przesyłać: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Elektronicznie </w:t>
      </w:r>
    </w:p>
    <w:p w:rsid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adres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Dopuszczone jest przesłanie ofert lub wniosków o dopuszczenie do udziału w postępowaniu w inny sposób: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Inny sposób: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Wymagane jest przesłanie ofert lub wniosków o dopuszczenie do udziału w postępowaniu w inny sposób: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Tak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lastRenderedPageBreak/>
        <w:t xml:space="preserve">Inny sposób: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pisemnie </w:t>
      </w:r>
      <w:r w:rsidRPr="006030C3">
        <w:rPr>
          <w:rFonts w:ascii="Trebuchet MS" w:hAnsi="Trebuchet MS"/>
          <w:sz w:val="20"/>
          <w:szCs w:val="20"/>
        </w:rPr>
        <w:t xml:space="preserve"> Adres: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ul. Medyków 16, </w:t>
      </w:r>
      <w:proofErr w:type="spellStart"/>
      <w:r>
        <w:rPr>
          <w:rFonts w:ascii="Trebuchet MS" w:hAnsi="Trebuchet MS"/>
          <w:sz w:val="20"/>
          <w:szCs w:val="20"/>
        </w:rPr>
        <w:t>katowice</w:t>
      </w:r>
      <w:proofErr w:type="spellEnd"/>
      <w:r>
        <w:rPr>
          <w:rFonts w:ascii="Trebuchet MS" w:hAnsi="Trebuchet MS"/>
          <w:sz w:val="20"/>
          <w:szCs w:val="20"/>
        </w:rPr>
        <w:t xml:space="preserv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Komunikacja elektroniczna wymaga korzystania z narzędzi i urządzeń lub formatów plików, które nie są ogólnie dostępne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Nieograniczony, pełny, bezpośredni i bezpłatny dostęp do tych narzędzi można uzyskać pod adresem: (URL)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SEKCJA II: PRZEDMIOT ZAMÓWIENIA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II.1) Nazwa nadana zamówieniu przez zamawiającego:  „Wymiana dźwigu towarowo-osobowego w budynku wysokim oraz wymiana dźwigu osobowego w segmencie K7 Samodzielnego Publicznego Szpitala Klinicznego Nr 6 Śląskiego Uniwersytetu Medycznego w Katowicach Górnośląskie Centrum Zdrowia Dziecka im. Jana Pawła II w celu dostosowania do potrzeb osób niepełnosprawnych”,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Numer referencyjny:  PN/38/17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Przed wszczęciem postępowania o udzielenie zamówienia prz</w:t>
      </w:r>
      <w:r>
        <w:rPr>
          <w:rFonts w:ascii="Trebuchet MS" w:hAnsi="Trebuchet MS"/>
          <w:sz w:val="20"/>
          <w:szCs w:val="20"/>
        </w:rPr>
        <w:t xml:space="preserve">eprowadzono dialog techniczny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II.2) Rodzaj zamówienia:  Roboty budowlane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II.3) Informacja o możliwości składania ofert częściowych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Zamówie</w:t>
      </w:r>
      <w:r>
        <w:rPr>
          <w:rFonts w:ascii="Trebuchet MS" w:hAnsi="Trebuchet MS"/>
          <w:sz w:val="20"/>
          <w:szCs w:val="20"/>
        </w:rPr>
        <w:t xml:space="preserve">nie podzielone jest na części: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Tak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Oferty lub wnioski o dopuszczenie do udziału w postępowaniu można składać w odniesieniu do: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wszystkich części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Zamawiający zastrzega sobie prawo do udzielenia łącznie następu</w:t>
      </w:r>
      <w:r>
        <w:rPr>
          <w:rFonts w:ascii="Trebuchet MS" w:hAnsi="Trebuchet MS"/>
          <w:sz w:val="20"/>
          <w:szCs w:val="20"/>
        </w:rPr>
        <w:t xml:space="preserve">jących części lub grup części: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Maksymalna liczba części zamówienia, na które może zostać udzielone zamówienie jednemu wykonawcy: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w:t>
      </w:r>
      <w:r>
        <w:rPr>
          <w:rFonts w:ascii="Trebuchet MS" w:hAnsi="Trebuchet MS"/>
          <w:sz w:val="20"/>
          <w:szCs w:val="20"/>
        </w:rPr>
        <w:t>I</w:t>
      </w:r>
      <w:r w:rsidRPr="006030C3">
        <w:rPr>
          <w:rFonts w:ascii="Trebuchet MS" w:hAnsi="Trebuchet MS"/>
          <w:sz w:val="20"/>
          <w:szCs w:val="20"/>
        </w:rPr>
        <w:t>I.4) Krótki opis przedmiotu zamówienia  (wielkość, zakres, rodzaj i ilość dostaw, usług lub robót budowlanych lub określenie zapotrzebowania i wymagań ) a w przypadku partnerstwa innowacyjnego - określenie zapotrzebowania na innowacyjny produkt, usługę lub roboty budowlane:  Wymiana dźwigu towarowo-osobowego w budynku wysokim oraz wymiana dźwigu osobowego w segmencie K7 Samodzielnego Publicznego Szpitala Klinicznego Nr 6 Śląskiego Uniwersytetu Medycznego w Katowicach Górnośląskie Centrum Zdrowia Dziecka im. Jana Pawła II w celu dostosowania do potrzeb osób niepełnosprawnych- szczegółowy opis przedmiotu zamówienia został opisany w SIWZ oraz w Programa</w:t>
      </w:r>
      <w:r>
        <w:rPr>
          <w:rFonts w:ascii="Trebuchet MS" w:hAnsi="Trebuchet MS"/>
          <w:sz w:val="20"/>
          <w:szCs w:val="20"/>
        </w:rPr>
        <w:t xml:space="preserve">ch Funkcjonalno - </w:t>
      </w:r>
      <w:proofErr w:type="spellStart"/>
      <w:r>
        <w:rPr>
          <w:rFonts w:ascii="Trebuchet MS" w:hAnsi="Trebuchet MS"/>
          <w:sz w:val="20"/>
          <w:szCs w:val="20"/>
        </w:rPr>
        <w:t>Uzytkowych</w:t>
      </w:r>
      <w:proofErr w:type="spellEnd"/>
      <w:r>
        <w:rPr>
          <w:rFonts w:ascii="Trebuchet MS" w:hAnsi="Trebuchet MS"/>
          <w:sz w:val="20"/>
          <w:szCs w:val="20"/>
        </w:rPr>
        <w:t xml:space="preserv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II.5) Główny kod CPV:  45313100-5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 Dodatkowe kody CPV: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Kod CPV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45000000-7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42416100-6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45453000-7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45111220-6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lastRenderedPageBreak/>
        <w:t xml:space="preserve">45111300-1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71000000-8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II.6) Całkowita wartość zamówienia (jeżeli zamawiający podaje informacje o wartości zamówienia):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Wartość bez VAT: 459349,60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 Waluta: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PLN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(w przypadku umów ramowych lub dynamicznego systemu zakupów – szacunkowa całkowita maksymalna wartość w całym okresie obowiązywania umowy ramowej lub</w:t>
      </w:r>
      <w:r>
        <w:rPr>
          <w:rFonts w:ascii="Trebuchet MS" w:hAnsi="Trebuchet MS"/>
          <w:sz w:val="20"/>
          <w:szCs w:val="20"/>
        </w:rPr>
        <w:t xml:space="preserve"> dynamicznego systemu zakupów)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II.7) Czy przewiduje się udzielenie zamówień, o których mowa w art. 67 ust. 1 pkt 6 i 7 lub w art. 134 ust. 6 pkt 3 ustawy </w:t>
      </w:r>
      <w:proofErr w:type="spellStart"/>
      <w:r w:rsidRPr="006030C3">
        <w:rPr>
          <w:rFonts w:ascii="Trebuchet MS" w:hAnsi="Trebuchet MS"/>
          <w:sz w:val="20"/>
          <w:szCs w:val="20"/>
        </w:rPr>
        <w:t>Pzp</w:t>
      </w:r>
      <w:proofErr w:type="spellEnd"/>
      <w:r w:rsidRPr="006030C3">
        <w:rPr>
          <w:rFonts w:ascii="Trebuchet MS" w:hAnsi="Trebuchet MS"/>
          <w:sz w:val="20"/>
          <w:szCs w:val="20"/>
        </w:rPr>
        <w:t xml:space="preserve">:  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Określenie przedmiotu, wielkości lub zakresu oraz warunków na jakich zostaną udzielone zamówienia, o których mowa w art. 67 ust. 1 pkt 6 lub w art. 134 ust. 6 pkt 3 ustawy </w:t>
      </w:r>
      <w:proofErr w:type="spellStart"/>
      <w:r w:rsidRPr="006030C3">
        <w:rPr>
          <w:rFonts w:ascii="Trebuchet MS" w:hAnsi="Trebuchet MS"/>
          <w:sz w:val="20"/>
          <w:szCs w:val="20"/>
        </w:rPr>
        <w:t>Pzp</w:t>
      </w:r>
      <w:proofErr w:type="spellEnd"/>
      <w:r w:rsidRPr="006030C3">
        <w:rPr>
          <w:rFonts w:ascii="Trebuchet MS" w:hAnsi="Trebuchet MS"/>
          <w:sz w:val="20"/>
          <w:szCs w:val="20"/>
        </w:rPr>
        <w:t xml:space="preserv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II.8) Okres, w którym realizowane będzie zamówienie lub okres, na który została zawarta umowa ramowa lub okres, na który został ustanowiony dynamiczny system zakupów: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miesiącach:     lub   dniach: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lub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data rozpoczęcia:    </w:t>
      </w:r>
      <w:r>
        <w:rPr>
          <w:rFonts w:ascii="Trebuchet MS" w:hAnsi="Trebuchet MS"/>
          <w:sz w:val="20"/>
          <w:szCs w:val="20"/>
        </w:rPr>
        <w:t xml:space="preserve"> lub  zakończenia:  2017-11-30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II.9) Informacje dodatkowe: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SEKCJA III: INFORMACJE O CHARAKTERZE PRAWNYM, EKONOMICZNYM, FINANSOWYM I TECHNICZNYM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III.1) W</w:t>
      </w:r>
      <w:r>
        <w:rPr>
          <w:rFonts w:ascii="Trebuchet MS" w:hAnsi="Trebuchet MS"/>
          <w:sz w:val="20"/>
          <w:szCs w:val="20"/>
        </w:rPr>
        <w:t xml:space="preserve">ARUNKI UDZIAŁU W POSTĘPOWANIU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III.1.1) Kompetencje lub uprawnienia do prowadzenia określonej działalności zawodowej, o ile wynika to z odrębnych przepisów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Określenie warunków: Dotyczy Pakietu 1 i Pakietu 2 Wykonawca spełni ten warunek jeżeli wykaże, że posiada uprawnienia wydane przez UDT do modernizacji dźwigów oraz wytwarzanie elementów dźwigów zgodnych z przepisami ustawy z dnia 21 grudnia 2000 r. o dozorze technicznym (tekst jednolity Dz.U. 2000 nr 122 poz. 1321).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Informacje dodatkowe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III.1.2) Sytuacja finansowa lub ekonomiczna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Określenie warunków: Zamawiający nie opisuje w/w warunku udziału.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Informacje dodatkowe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III.1.3) Zdolność techniczna lub zawodowa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Określenie warunków: Zdolności techniczna Dotyczy Pakietu 1 Wykonawca spełni ten warunek jeżeli wykaże, że w okresie ostatnich 5 lat przed upływem terminu składania ofert, a jeżeli okres prowadzenia działalności jest krótszy - w tym okresie, wykonał należycie, zgodnie przepisami prawa budowlanego i prawidłowo ukończył co najmniej jedną robotę budowlaną o wartości co najmniej 280 000 zł brutto, która została zrealizowana w budynku użyteczności publicznej *, podczas ciągłego tj. trwającego 24 h/dobę ruchu użytkowników budynku, w zakres której wchodzi wymiana dźwigu osobowego. Jedna robota budowlana oznacza robotę wykonywaną w ramach jednej umowy. Dotyczy Pakietu 2 Wykonawca spełni ten warunek jeżeli wykaże, że w okresie ostatnich 5 lat przed upływem </w:t>
      </w:r>
      <w:r w:rsidRPr="006030C3">
        <w:rPr>
          <w:rFonts w:ascii="Trebuchet MS" w:hAnsi="Trebuchet MS"/>
          <w:sz w:val="20"/>
          <w:szCs w:val="20"/>
        </w:rPr>
        <w:lastRenderedPageBreak/>
        <w:t xml:space="preserve">terminu składania ofert, a jeżeli okres prowadzenia działalności jest krótszy - w tym okresie, wykonał należycie, zgodnie przepisami prawa budowlanego i prawidłowo ukończył co najmniej jedną robotę budowlaną o wartości co najmniej 100 000 zł brutto, która została zrealizowana w budynku użyteczności publicznej *, podczas ciągłego tj. trwającego 24 h/dobę ruchu użytkowników budynku, w zakres której wchodzi wymiana dźwigu osobowego. Jedna robota budowlana oznacza robotę wykonywaną w ramach jednej umowy. Uwaga W przypadku gdy Wykonawcy składa ofertę na Pakiet 1 i Pakiet 2, Zamawiający w celu spełnienia w/w warunku udziału wymagał będzie od Wykonawcy aby ten wykazał, że w okresie ostatnich 5 lat przed upływem terminu składania ofert, a jeżeli okres prowadzenia działalności jest krótszy - w tym okresie, wykonał należycie, zgodnie przepisami prawa budowlanego i prawidłowo ukończył co najmniej jedną robotę budowlaną o wartości co najmniej 280 000 zł brutto, która została zrealizowana w budynku użyteczności publicznej *, podczas ciągłego tj. trwającego 24 h/dobę ruchu użytkowników budynku, w zakres której wchodzi wymiana dźwigu osobowego. Jedna robota budowlana oznacza robotę wykonywaną w ramach jednej umowy. * budynek użyteczności publicznej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(zgodnie z Rozporządzeniem Ministra Infrastruktury z dnia 12 kwietnia 2002 r. w sprawie Warunków technicznych, jakim powinny odpowiadać budynki i ich usytuowanie(Dz. U. z 2002 r. nr 75 poz. 690 z późn. zm.). W przypadku wskazania przez Wykonawcę, w celu wykazania spełniania warunków udziału, waluty inna niż polska (PLN), w celu jej przeliczenia stosowany będzie:- średni kurs NBP na dzień publikacji ogłoszenia o zamówieniu w Biuletynie Zamówień Publicznych. W przypadku korzystania przez Wykonawcę w zakresie spełniania warunku udziału w postępowaniu z wiedzy i doświadczenia innych podmiotów w oparciu o art. 22a </w:t>
      </w:r>
      <w:proofErr w:type="spellStart"/>
      <w:r w:rsidRPr="006030C3">
        <w:rPr>
          <w:rFonts w:ascii="Trebuchet MS" w:hAnsi="Trebuchet MS"/>
          <w:sz w:val="20"/>
          <w:szCs w:val="20"/>
        </w:rPr>
        <w:t>Pzp</w:t>
      </w:r>
      <w:proofErr w:type="spellEnd"/>
      <w:r w:rsidRPr="006030C3">
        <w:rPr>
          <w:rFonts w:ascii="Trebuchet MS" w:hAnsi="Trebuchet MS"/>
          <w:sz w:val="20"/>
          <w:szCs w:val="20"/>
        </w:rPr>
        <w:t xml:space="preserve">, Zamawiający wymaga aby podmiot ten zrealizował roboty budowlane do wykonania których, ta wiedza i doświadczenie jest wymagane. Zdolności zawodowa Dotyczy Pakietu 1 Wykonawca spełni ten warunek jeżeli wykaże że dysponuje lub będzie dysponował osobami zdolnymi do wykonania niniejszego zamówienia, posiadającymi prawo wykonywania zawodu oraz wymagane uprawnienia budowlane tj.: a) minimum 1 osoba posiadająca uprawnienia budowlane do kierowania robotami budowlanymi w specjalności konstrukcyjno-budowlanej zgodnie z Rozporządzeniem Ministra Infrastruktury i Rozwoju z dnia 11.09.2014 w sprawie samodzielnych funkcji technicznych w budownictwie (Dz. U. z 2014 r., poz. 1278 z późn. zm.) lub odpowiadające im ważne uprawnienia budowlane, które zostały wydane na podstawie wcześniej obowiązujących przepisów, b) minimum 1 osoba posiadająca uprawnienia budowlane do kierowania robotami budowlanymi w specjalności elektrycznej zgodnie z Rozporządzeniem Ministra Infrastruktury i Rozwoju z dnia 11.09.2014 w sprawie samodzielnych funkcji technicznych w budownictwie (Dz. U. z 2014 r., poz. 1278) lub odpowiadające im ważne uprawnienia budowlane, które zostały wydane na podstawie wcześniej obowiązujących przepisów. Dotyczy Pakietu 2 a) minimum 1 osoba posiadająca uprawnienia </w:t>
      </w:r>
      <w:r w:rsidRPr="006030C3">
        <w:rPr>
          <w:rFonts w:ascii="Trebuchet MS" w:hAnsi="Trebuchet MS"/>
          <w:sz w:val="20"/>
          <w:szCs w:val="20"/>
        </w:rPr>
        <w:lastRenderedPageBreak/>
        <w:t xml:space="preserve">budowlane do kierowania robotami budowlanymi w specjalności konstrukcyjno-budowlanej zgodnie z Rozporządzeniem Ministra Infrastruktury i Rozwoju z dnia 11.09.2014 w sprawie samodzielnych funkcji technicznych w budownictwie (Dz. U. z 2014 r., poz. 1278 z późn. zm.) lub odpowiadające im ważne uprawnienia budowlane, które zostały wydane na podstawie wcześniej obowiązujących przepisów, b) minimum 1 osoba posiadająca uprawnienia budowlane do kierowania robotami budowlanymi w specjalności elektrycznej zgodnie z Rozporządzeniem Ministra Infrastruktury i Rozwoju z dnia 11.09.2014 w sprawie samodzielnych funkcji technicznych w budownictwie (Dz. U. z 2014 r., poz. 1278) lub odpowiadające im ważne uprawnienia budowlane, które zostały wydane na podstawie wcześniej obowiązujących przepisów. Uwaga W przypadku gdy Wykonawcy składa ofertę na Pakiet 1 i Pakiet 2, Zamawiający w celu spełnienia w/w warunku udziału wymagał będzie od Wykonawcy aby ten wykazał, że dysponuje lub będzie dysponował osobami zdolnymi do wykonania niniejszego zamówienia, posiadającymi prawo wykonywania zawodu oraz wymagane uprawnienia budowlane zgodnie z postawionymi powyżej warunkami osobno dla Pakietu nr 1 oraz osobno dla Pakietu nr 2.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Informacje dodatkowe: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 III.2) PODSTAWY WYKLUCZENIA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III.2.1) Podstawy wykluczenia określone w art. 24 ust. 1 ustawy </w:t>
      </w:r>
      <w:proofErr w:type="spellStart"/>
      <w:r w:rsidRPr="006030C3">
        <w:rPr>
          <w:rFonts w:ascii="Trebuchet MS" w:hAnsi="Trebuchet MS"/>
          <w:sz w:val="20"/>
          <w:szCs w:val="20"/>
        </w:rPr>
        <w:t>Pzp</w:t>
      </w:r>
      <w:proofErr w:type="spellEnd"/>
      <w:r w:rsidRPr="006030C3">
        <w:rPr>
          <w:rFonts w:ascii="Trebuchet MS" w:hAnsi="Trebuchet MS"/>
          <w:sz w:val="20"/>
          <w:szCs w:val="20"/>
        </w:rPr>
        <w:t xml:space="preserv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III.2.2) Zamawiający przewiduje wykluczenie wykonawcy na podstawie art. 24 ust. 5 ustawy </w:t>
      </w:r>
      <w:proofErr w:type="spellStart"/>
      <w:r w:rsidRPr="006030C3">
        <w:rPr>
          <w:rFonts w:ascii="Trebuchet MS" w:hAnsi="Trebuchet MS"/>
          <w:sz w:val="20"/>
          <w:szCs w:val="20"/>
        </w:rPr>
        <w:t>Pzp</w:t>
      </w:r>
      <w:proofErr w:type="spellEnd"/>
      <w:r w:rsidRPr="006030C3">
        <w:rPr>
          <w:rFonts w:ascii="Trebuchet MS" w:hAnsi="Trebuchet MS"/>
          <w:sz w:val="20"/>
          <w:szCs w:val="20"/>
        </w:rPr>
        <w:t xml:space="preserve"> Tak Zamawiający przewiduje następujące fakultatywne podstawy wykluczenia: Tak (podstawa wykluczenia określona w ar</w:t>
      </w:r>
      <w:r>
        <w:rPr>
          <w:rFonts w:ascii="Trebuchet MS" w:hAnsi="Trebuchet MS"/>
          <w:sz w:val="20"/>
          <w:szCs w:val="20"/>
        </w:rPr>
        <w:t xml:space="preserve">t. 24 ust. 5 pkt 1 ustawy </w:t>
      </w:r>
      <w:proofErr w:type="spellStart"/>
      <w:r>
        <w:rPr>
          <w:rFonts w:ascii="Trebuchet MS" w:hAnsi="Trebuchet MS"/>
          <w:sz w:val="20"/>
          <w:szCs w:val="20"/>
        </w:rPr>
        <w:t>Pzp</w:t>
      </w:r>
      <w:proofErr w:type="spellEnd"/>
      <w:r>
        <w:rPr>
          <w:rFonts w:ascii="Trebuchet MS" w:hAnsi="Trebuchet MS"/>
          <w:sz w:val="20"/>
          <w:szCs w:val="20"/>
        </w:rPr>
        <w:t xml:space="preserv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III.3) WYKAZ OŚWIADCZEŃ SKŁADANYCH PRZEZ WYKONAWCĘ W CELU WSTĘPNEGO POTWIERDZENIA, ŻE NIE PODLEGA ON WYKLUCZENIU ORAZ SPEŁNIA WARUNKI UDZIAŁU W POSTĘPOWANIU O</w:t>
      </w:r>
      <w:r>
        <w:rPr>
          <w:rFonts w:ascii="Trebuchet MS" w:hAnsi="Trebuchet MS"/>
          <w:sz w:val="20"/>
          <w:szCs w:val="20"/>
        </w:rPr>
        <w:t xml:space="preserve">RAZ SPEŁNIA KRYTERIA SELEKCJI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Oświadczenie o niepodleganiu wykluczeniu oraz spełnianiu warunków udziału w postępowaniu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Tak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Oświadczenie o spełnianiu kryteriów selekcji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III.4) WYKAZ OŚWIADCZEŃ LUB DOKUMENTÓW , SKŁADANYCH PRZEZ WYKONAWCĘ W POSTĘPOWANIU NA WEZWANIE ZAMAWIAJACEGO W CELU POTWIERDZENIA OKOLICZNOŚCI, O KTÓRYCH MOWA W ART. 25 </w:t>
      </w:r>
      <w:r>
        <w:rPr>
          <w:rFonts w:ascii="Trebuchet MS" w:hAnsi="Trebuchet MS"/>
          <w:sz w:val="20"/>
          <w:szCs w:val="20"/>
        </w:rPr>
        <w:t xml:space="preserve">UST. 1 PKT 3 USTAWY PZP: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1. 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 2. W celu potwierdzenia braku podstaw wykluczenia z udziału w postępowaniu Wykonawca winien </w:t>
      </w:r>
      <w:r w:rsidRPr="006030C3">
        <w:rPr>
          <w:rFonts w:ascii="Trebuchet MS" w:hAnsi="Trebuchet MS"/>
          <w:sz w:val="20"/>
          <w:szCs w:val="20"/>
        </w:rPr>
        <w:lastRenderedPageBreak/>
        <w:t xml:space="preserve">złożyć: a) Odpis z właściwego rejestru lub z centralnej ewidencji i informacji o działalności gospodarczej, jeżeli odrębne przepisy wymagają wpisu do rejestru lub ewidencji, w celu potwierdzenia braku podstaw do wykluczenia na podstawie art. 24 ust. 5 pkt 1 ustawy;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III.5) WYKAZ OŚWIADCZEŃ LUB DOKUMENTÓW SKŁADANYCH PRZEZ WYKONAWCĘ W POSTĘPOWANIU NA WEZWANIE ZAMAWIAJACEGO W CELU POTWIERDZENIA OKOLICZNOŚCI, O KTÓRYCH MOWA W AR</w:t>
      </w:r>
      <w:r>
        <w:rPr>
          <w:rFonts w:ascii="Trebuchet MS" w:hAnsi="Trebuchet MS"/>
          <w:sz w:val="20"/>
          <w:szCs w:val="20"/>
        </w:rPr>
        <w:t xml:space="preserve">T. 25 UST. 1 PKT 1 USTAWY PZP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III.5.1) W ZAKRESIE SPEŁNIANIA WARUNKÓW UDZIAŁU W POSTĘPOWANIU: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A) W celu potwierdzenia spełnienia warunku udziału w postępowaniu dotyczącego kompetencji lub uprawnień do prowadzenia określonej działalności zawodowej Wykonawca winien złożyć: dokument potwierdzający posiadanie uprawnień wydanych przez UDT do modernizacji dźwigów oraz wytwarzanie elementów dźwigów zgodnych z przepisami ustawy z dnia z dnia 21 grudnia 2000 r. o dozorze technicznym (tekst jednolity Dz.U. 2000 nr 122 poz. 1321). B) W celu potwierdzenia spełnienia warunku udziału w postępowaniu dotyczącego zdolności technicznej i zawodowej Wykonawca winien złożyć: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 stanowiący załącznik do SIWZ (stosownie do przedmiotu zamówienia Pakiet 1 i /lub Pakiet 2). Dowodami, o których mowa, są referencje bądź inne dokumenty wystawione przez podmiot, na rzecz którego roboty budowlane były wykonywane, a jeżeli z uzasadnionych przyczyn o obiektywnym charakterze wykonawca nie jest w stanie uzyskać tych dokumentów – inne dokumenty. b) Wykaz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w:t>
      </w:r>
      <w:r w:rsidRPr="006030C3">
        <w:rPr>
          <w:rFonts w:ascii="Trebuchet MS" w:hAnsi="Trebuchet MS"/>
          <w:sz w:val="20"/>
          <w:szCs w:val="20"/>
        </w:rPr>
        <w:lastRenderedPageBreak/>
        <w:t xml:space="preserve">publicznego, a także zakresu wykonanych przez nie czynności oraz informacją o podstawie do dysponowania tymi osobami - stanowiący załącznik do SIWZ (stosownie do przedmiotu zamówienia Pakiet 1 i /lub Pakiet 2).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III.5.2) </w:t>
      </w:r>
      <w:r>
        <w:rPr>
          <w:rFonts w:ascii="Trebuchet MS" w:hAnsi="Trebuchet MS"/>
          <w:sz w:val="20"/>
          <w:szCs w:val="20"/>
        </w:rPr>
        <w:t xml:space="preserve">W ZAKRESIE KRYTERIÓW SELEKCJI: </w:t>
      </w:r>
      <w:r w:rsidRPr="006030C3">
        <w:rPr>
          <w:rFonts w:ascii="Trebuchet MS" w:hAnsi="Trebuchet MS"/>
          <w:sz w:val="20"/>
          <w:szCs w:val="20"/>
        </w:rPr>
        <w:t xml:space="preserv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III.6) WYKAZ OŚWIADCZEŃ LUB DOKUMENTÓW SKŁADANYCH PRZEZ WYKONAWCĘ W POSTĘPOWANIU NA WEZWANIE ZAMAWIAJACEGO W CELU POTWIERDZENIA OKOLICZNOŚCI, O KTÓRYCH MOWA W ART. 25 UST. 1 PKT 2 USTAWY PZP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III.7) INNE DOKUMENTY NIE WYMIENIONE W pkt III.3) - III.6)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SEKCJA IV: PROCEDURA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IV.1) OPIS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IV.1.1) Tryb udzielenia zamówienia:  Przetarg nieograniczony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IV.1.2) Zamawiający żąda wniesienia wadium: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Tak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Informacja na temat wadium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1. Wykonawcy, którzy zamierzają przystąpić do przetargu, powinni obowiązkowo wnieść wadium przed terminem otwarcia ofert w wysokości: Pakiet 1: 5 183,00 zł (słownie: pięć tysięcy sto osiemdziesiąt trzy złote). Pakiet 2: 1 707,00 zł (słownie: jeden tysiąc siedemset siedem złotych). 2. Wadium, można wnosić w jednej lub kilku następujących formach: w pieniądzu, poręczeniach bankowych lub poręczeniach kasy oszczędnościowo-kredytowej, z tym, że poręczenie kasy jest zawsze poręczeniem pieniężnym, gwarancjach bankowych, ubezpieczeniowych, poręczeniach udzielonych przez podmioty, o których mowa w art. 6 b ust. 5 pkt 2 ustawy z dnia 9 listopada 2000 roku o utworzeniu Polskiej Agencji Rozwoju Przedsiębiorczości (Dz. U. z 2007 r. nr 42 poz. 275). 3. Za termin wniesienia wadium uważa się datę wpłynięcia środków pieniężnych na konto Zamawiającego. Środki pieniężne należy wpłacić na następujące konto: BANK GOSPODARSTWA KRAJOWEGO 50 </w:t>
      </w:r>
      <w:r>
        <w:rPr>
          <w:rFonts w:ascii="Trebuchet MS" w:hAnsi="Trebuchet MS"/>
          <w:sz w:val="20"/>
          <w:szCs w:val="20"/>
        </w:rPr>
        <w:t xml:space="preserve">1130 1091 0003 9032 2920 0005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IV.1.3) Przewiduje się udzielenie zaliczek na poczet wykonania zamówienia: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Należy podać informacje na temat udzielania zaliczek: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w:t>
      </w:r>
      <w:r>
        <w:rPr>
          <w:rFonts w:ascii="Trebuchet MS" w:hAnsi="Trebuchet MS"/>
          <w:sz w:val="20"/>
          <w:szCs w:val="20"/>
        </w:rPr>
        <w:t>I</w:t>
      </w:r>
      <w:r w:rsidRPr="006030C3">
        <w:rPr>
          <w:rFonts w:ascii="Trebuchet MS" w:hAnsi="Trebuchet MS"/>
          <w:sz w:val="20"/>
          <w:szCs w:val="20"/>
        </w:rPr>
        <w:t xml:space="preserve">V.1.4) Wymaga się złożenia ofert w postaci katalogów elektronicznych lub dołączenia do ofert katalogów elektronicznych: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Dopuszcza się złożenie ofert w postaci katalogów elektronicznych lub dołączenia do ofert katalogów elektronicznych: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Informacje dodatkowe: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IV.1.5.) Wymaga się złożenia oferty wariantowej: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Dopuszcza s</w:t>
      </w:r>
      <w:r>
        <w:rPr>
          <w:rFonts w:ascii="Trebuchet MS" w:hAnsi="Trebuchet MS"/>
          <w:sz w:val="20"/>
          <w:szCs w:val="20"/>
        </w:rPr>
        <w:t xml:space="preserve">ię złożenie oferty wariantowej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Złożenie oferty wariantowej dopuszcza się tylko z jednoczesnym złożeniem oferty zasadniczej: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w:t>
      </w:r>
    </w:p>
    <w:p w:rsidR="006030C3" w:rsidRPr="006030C3" w:rsidRDefault="006030C3" w:rsidP="006030C3">
      <w:pPr>
        <w:spacing w:after="0" w:line="360" w:lineRule="auto"/>
        <w:jc w:val="both"/>
        <w:rPr>
          <w:rFonts w:ascii="Trebuchet MS" w:hAnsi="Trebuchet MS"/>
          <w:sz w:val="20"/>
          <w:szCs w:val="20"/>
        </w:rPr>
      </w:pP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IV.1.6) Przewidywana liczba wykonawców, którzy zostaną zaproszeni do udziału w postępowaniu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(przetarg ograniczony, negocjacje z ogłoszeniem, dialog konkurencyjny, partnerstwo innowacyjne)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  </w:t>
      </w:r>
      <w:r w:rsidRPr="006030C3">
        <w:rPr>
          <w:rFonts w:ascii="Trebuchet MS" w:hAnsi="Trebuchet MS"/>
          <w:sz w:val="20"/>
          <w:szCs w:val="20"/>
        </w:rPr>
        <w:t xml:space="preserve">Liczba wykonawców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Przewidywana minimalna liczba wykonawców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Maksymalna liczba wykonawców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Kryteria selekcji wykonawców: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IV.1.7) Informacje na temat umowy ramowej lub dynamicznego systemu zakupów:  </w:t>
      </w:r>
    </w:p>
    <w:p w:rsidR="006030C3" w:rsidRPr="006030C3" w:rsidRDefault="006030C3" w:rsidP="006030C3">
      <w:pPr>
        <w:spacing w:after="0" w:line="360" w:lineRule="auto"/>
        <w:jc w:val="both"/>
        <w:rPr>
          <w:rFonts w:ascii="Trebuchet MS" w:hAnsi="Trebuchet MS"/>
          <w:sz w:val="20"/>
          <w:szCs w:val="20"/>
        </w:rPr>
      </w:pPr>
      <w:r>
        <w:rPr>
          <w:rFonts w:ascii="Trebuchet MS" w:hAnsi="Trebuchet MS"/>
          <w:sz w:val="20"/>
          <w:szCs w:val="20"/>
        </w:rPr>
        <w:t xml:space="preserve">Umowa ramowa będzie zawarta: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Czy przewiduje się ograniczenie liczby uczestników umowy ramowej: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Przewidziana maksymalna liczba uczestników umowy ramowej: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Informacje dodatkowe: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Zamówienie obejmuje ustanowienie dynamicznego systemu zakupów: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Adres strony internetowej, na której będą zamieszczone dodatkowe informacje dotyczące dynamicznego systemu zakupów: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Informacje dodatkowe: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W ramach umowy ramowej/dynamicznego systemu zakupów dopuszcza się złożenie ofert w formie katalogów elektronicznych: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Przewiduje się pobranie ze złożonych katalogów elektronicznych informacji potrzebnych do sporządzenia ofert w ramach umowy ramowej/dynamicznego systemu zakupów: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IV.1.8) Aukcja elektroniczna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Przewidziane jest przeprowadzenie aukcji elektronicznej (przetarg nieograniczony, przetarg ograniczony, negocjacje z ogłoszeniem)  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Należy podać adres strony internetowej, na której aukcja będzie prowadzona: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Należy wskazać elementy, których wartości będą przedmiotem aukcji elektronicznej: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Przewiduje się ograniczenia co do przedstawionych wartości, wynikające z opisu przedmiotu zamówienia: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Należy podać, które informacje zostaną udostępnione wykonawcom w trakcie aukcji elektronicznej oraz jaki będzie termin ich udostępnienia: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Informacje dotyczące przebiegu aukcji elektronicznej: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Jaki jest przewidziany sposób postępowania w toku aukcji elektronicznej i jakie będą warunki, na jakich wykonawcy będą mogli licytować (minimalne wysokości postąpień):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Informacje dotyczące wykorzystywanego sprzętu elektronicznego, rozwiązań i specyfikacji technicznych w zakresie połączeń: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Wymagania dotyczące rejestracji i identyfikacji wykonawców w aukcji elektronicznej: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Informacje o liczbie etapów aukcji elektronicznej i czasie ich trwania: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Czas trwania: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Czy wykonawcy, którzy nie złożyli nowych postąpień, zostaną zakwalifikowani do następnego etapu: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Warunki zamknięcia aukcji elektronicznej: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w:t>
      </w:r>
    </w:p>
    <w:p w:rsidR="006030C3" w:rsidRPr="006030C3" w:rsidRDefault="006030C3" w:rsidP="006030C3">
      <w:pPr>
        <w:spacing w:after="0" w:line="360" w:lineRule="auto"/>
        <w:jc w:val="both"/>
        <w:rPr>
          <w:rFonts w:ascii="Trebuchet MS" w:hAnsi="Trebuchet MS"/>
          <w:sz w:val="20"/>
          <w:szCs w:val="20"/>
        </w:rPr>
      </w:pP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IV.2) KRYTERIA OCENY OFERT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IV.2.1) Kryteria oceny ofert: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IV.2.2) Kryteria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Kryteria Znaczenie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cena 60,00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gwarancja 40,00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IV.2.3) Zastosowanie procedury, o której mowa w art. 24aa ust. 1 ustawy </w:t>
      </w:r>
      <w:proofErr w:type="spellStart"/>
      <w:r w:rsidRPr="006030C3">
        <w:rPr>
          <w:rFonts w:ascii="Trebuchet MS" w:hAnsi="Trebuchet MS"/>
          <w:sz w:val="20"/>
          <w:szCs w:val="20"/>
        </w:rPr>
        <w:t>Pzp</w:t>
      </w:r>
      <w:proofErr w:type="spellEnd"/>
      <w:r w:rsidRPr="006030C3">
        <w:rPr>
          <w:rFonts w:ascii="Trebuchet MS" w:hAnsi="Trebuchet MS"/>
          <w:sz w:val="20"/>
          <w:szCs w:val="20"/>
        </w:rPr>
        <w:t xml:space="preserve"> (przetarg nieograniczony)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IV.3) Negocjacje z ogłoszeniem, dialog konkurencyjny, partnerstwo innowacyjne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IV.3.1) Informacje na temat negocjacji z ogłoszeniem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Minimalne wymagania, które muszą spełniać wszystkie oferty: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Przewidziane jest zastrzeżenie prawa do udzielenia zamówienia na podstawie ofert wstępnych bez przeprowadzenia negocjacji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Przewidziany jest podział negocjacji na etapy w celu ograniczenia liczby ofert: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Należy podać informacje na temat etapów negocjacji (w tym liczbę etapów):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Informacje dodatkowe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IV.3.2) Informacje na temat dialogu konkurencyjnego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Opis potrzeb i wymagań zamawiającego lub informacja o sposobie uzyskania tego opisu: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Informacja o wysokości nagród dla wykonawców, którzy podczas dialogu konkurencyjnego przedstawili rozwiązania stanowiące podstawę do składania ofert, jeżeli zamawiający przewiduje nagrody: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Wstępny harmonogram postępowania: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Podział dialogu na etapy w celu ograniczenia liczby rozwiązań: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Należy podać informacje na temat etapów dialogu: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Informacje dodatkowe: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IV.3.3) Informacje na temat partnerstwa innowacyjnego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Elementy opisu przedmiotu zamówienia definiujące minimalne wymagania, którym muszą odpowiadać wszystkie oferty: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Podział negocjacji na etapy w celu ograniczeniu liczby ofert podlegających negocjacjom poprzez zastosowanie kryteriów oceny ofert wskazanych w specyfikacji istotnych warunków zamówienia: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Informacje dodatkowe: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IV.4) Licytacja elektroniczna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Adres strony internetowej, na której będzie prowadzona licytacja elektroniczna: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Adres strony internetowej, na której jest dostępny opis przedmiotu zamówienia w licytacji elektronicznej: </w:t>
      </w:r>
    </w:p>
    <w:p w:rsidR="006030C3" w:rsidRPr="006030C3" w:rsidRDefault="006030C3" w:rsidP="006030C3">
      <w:pPr>
        <w:spacing w:after="0" w:line="360" w:lineRule="auto"/>
        <w:jc w:val="both"/>
        <w:rPr>
          <w:rFonts w:ascii="Trebuchet MS" w:hAnsi="Trebuchet MS"/>
          <w:sz w:val="20"/>
          <w:szCs w:val="20"/>
        </w:rPr>
      </w:pP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lastRenderedPageBreak/>
        <w:t xml:space="preserve">Wymagania dotyczące rejestracji i identyfikacji wykonawców w licytacji elektronicznej, w tym wymagania techniczne urządzeń informatycznych: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Sposób postępowania w toku licytacji elektronicznej, w tym określenie minimalnych wysokości postąpień: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Informacje o liczbie etapów licytacji elektronicznej i czasie ich trwania: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Czas trwania: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Wykonawcy, którzy nie złożyli nowych postąpień, zostaną zakwalifikowani do następnego etapu: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Termin składania wniosków o dopuszczenie do udziału w licytacji elektronicznej: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Data:  godzina: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Termin otwarcia licytacji elektronicznej: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Termin i warunki zamknięcia licytacji elektronicznej: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Istotne dla stron postanowienia, które zostaną wprowadzone do treści zawieranej umowy w sprawie zamówienia publicznego, albo ogólne warunki umowy, albo wzór umowy: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Wymagania dotyczące zabezpieczenia należytego wykonania umowy: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Informacje dodatkowe: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IV.5) ZMIANA UMOWY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Przewiduje się istotne zmiany postanowień zawartej umowy w stosunku do treści oferty, na podstawie której dokonano wyboru wykonawcy: Tak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Należy wskazać zakres, charakter zmian oraz warunki wprowadzenia zmian: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Zamawiający nie dopuszcza istotnych zmian postanowień niniejszej umowy w stosunku do treści oferty, na podstawie której dokonano wyboru Wykonawcy, za wyjątkiem zmian na podstawie art. 144 ustawy Prawo Zamówień publicznych, gdzie Zamawiający dopuszcza zmianę zawartej umowy w trakcie jej trwania, w następujących przypadkach: 1) obniżenia ceny przez Wykonawcę, 2) wydłużenia terminu gwarancji w sytuacji przedłużenia jej przez Producenta lub Wykonawcę, 3) zmiany terminu realizacji zamówienia: a) poprzez jego przedłużenie ze względu na przyczyny leżące po stronie Zamawiającego dotyczące np. braku przygotowania/przekazania placu robót w tym pomieszczeń, b) poprzez jego przedłużenie ze względu na obiektywne przyczyny niezawinione przez Strony, w tym również spowodowane przez tzw. „siłę wyższą” np. pożar, zalanie itp., 4) zmiany Podwykonawcy. W takim przypadku Wykonawca obowiązany jest poinformować Zamawiającego o zaistniałej zmianie zgodnie z procedurą opisaną w umowie. Jeżeli Wykonawca, spełniając w postępowaniu warunek wiedzy i doświadczenia opierał się na doświadczeniu Podwykonawcy który podlega zmianie, podwykonawca wprowadzany na jego miejsce winien spełniać wymagania zgodne z wymaganiami określonymi dla tych osób w postępowaniu. W przypadku ustalenia, iż zaistniały przesłanki umożliwiające dokonanie tej zmiany bez uszczerbku dla prawidłowego wykonania przedmiotu umowy, Zamawiający wyrazi pisemną zgodę; 5) 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6) podwyższenia urzędowej stawki podatku VAT, przy czym wówczas zmianie ulegnie cena netto, a cena brutto pozostanie niezmieniona; 7) zmniejszenia urzędowej stawki </w:t>
      </w:r>
      <w:r w:rsidRPr="006030C3">
        <w:rPr>
          <w:rFonts w:ascii="Trebuchet MS" w:hAnsi="Trebuchet MS"/>
          <w:sz w:val="20"/>
          <w:szCs w:val="20"/>
        </w:rPr>
        <w:lastRenderedPageBreak/>
        <w:t xml:space="preserve">podatku VAT, przy czym wówczas zmianie ulegnie cena brutto, a cena netto pozostanie niezmieniona; 8) zmiany dotyczą realizacji dodatkowych dostaw/usług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6) wystąpienia łącznie warunków: konieczności zmiany umowy spowodowanej jest okolicznościami, których Zamawiający, działając z należytą starannością, nie mógł przewidzieć oraz wartość zmiany nie przekracza 50% wartości zamówienia określonej pierwotnie w umowie. 7)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8) kiedy łączna wartość zmian jest mniejsza niż kwoty określone w przepisach wydanych na podstawie art. 11 ust. 8 ustawy Prawo zamówień publicznych i jest mniejsza od 10% wartości zamówienia określonej pierwotnie w umowie w przypadku zamówień na usługi lub dostawy.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IV.6) INFORMACJE ADMINISTRACYJNE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IV.6.1) Sposób udostępniania informacji o charakterze poufnym (jeżeli dotyczy):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Środki służące ochronie informacji o charakterze poufnym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IV.6.2) Termin składania ofert lub wniosków o dopuszczenie do udziału w postępowaniu: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Data: 2017-07-28, godzina: 09:30,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Skrócenie terminu składania wniosków, ze względu na pilną potrzebę udzielenia zamówienia (przetarg nieograniczony, przetarg ograniczony, negocjacje z ogłoszeniem):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Wskazać powody: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Język lub języki, w jakich mogą być sporządzane oferty lub wnioski o dopuszczenie do udziału w postępowaniu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&gt; PLN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IV.6.3) Termin związania ofertą:  do:  okres w dniach: 30 (od ostatecznego terminu składania ofert)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IV.6.6) Informacje dodatkowe: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Wizja lokalna. Wykonawcy mogą dokonać wizji lokalnej miejsca prowadzenia robót, po uprzednim zgłoszeniu udziału Zamawiającemu. Termin wizji lokalnej wyznacza się na dzień 12.07.2017 r. o </w:t>
      </w:r>
      <w:r w:rsidRPr="006030C3">
        <w:rPr>
          <w:rFonts w:ascii="Trebuchet MS" w:hAnsi="Trebuchet MS"/>
          <w:sz w:val="20"/>
          <w:szCs w:val="20"/>
        </w:rPr>
        <w:lastRenderedPageBreak/>
        <w:t xml:space="preserve">godzinie 10.00. Wykonawcy zainteresowani dokonaniem oględzin miejsca prowadzenia robót budowlanych proszeni są o uprzednie zgłoszenie udziału Zamawiającemu tj.: Dział Infrastruktury, numer telefonu: 32 2071514; 32 2071941; 32 207 1591 lub email: jwaliszewska@gczd.katowice.pl.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ZAŁĄCZNIK I - INFORMACJE DOTYCZĄCE OFERT CZĘŚCIOWYCH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Część nr:  1 Nazwa:  Wymiana dźwigu towarowo-osobowego w budynku wysokim Samodzielnego Publicznego Szpitala Klinicznego Nr 6 Śląskiego Uniwersytetu Medycznego w Katowicach Górnośląskie Centrum Zdrowia Dziecka im. Jana Pawła II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6030C3">
        <w:rPr>
          <w:rFonts w:ascii="Trebuchet MS" w:hAnsi="Trebuchet MS"/>
          <w:sz w:val="20"/>
          <w:szCs w:val="20"/>
        </w:rPr>
        <w:t>budowlane:Zakres</w:t>
      </w:r>
      <w:proofErr w:type="spellEnd"/>
      <w:r w:rsidRPr="006030C3">
        <w:rPr>
          <w:rFonts w:ascii="Trebuchet MS" w:hAnsi="Trebuchet MS"/>
          <w:sz w:val="20"/>
          <w:szCs w:val="20"/>
        </w:rPr>
        <w:t xml:space="preserve"> prac: 1. Sporządzenie dokumentacji projektowej wymiany urządzenia dźwigowego w budynku „wysokim” wraz z uzyskaniem stosownych uzgodnień i zezwoleń wynikających z aktualnych przepisów prawa, sporządzenie projektów wykonawczych wraz ze specyfikacjami technicznymi wykonania i odbioru robót budowlanych. 2. Demontaż istniejącego w budynku wysokim dźwigu wraz z niezbędnymi rozbiórkami konstrukcji (prowadnice kabinowe i przeciwwagi) i ich utylizacją. 3. Adaptacja istniejącego w budynku szybu windowego oraz jego maszynowni do potrzeb nowego urządzenia dźwigowego w zakresie robót budowlanych, elektrycznych, teletechnicznych, i innych niezbędnych robót, które wynikną z opracowanych przez wykonawcę dokumentacji projektowej łącznie z robotami budowlanymi dotyczącymi wyrównania poziomów na piętrach z uzyskaniem światła wejścia do kabiny 1100 x 2000 mm. 4. Dostawa i montaż dźwigu szpitalnego z napędem elektrycznym – linowym w budynku „wysokim” (z maszynownią górną bezpośrednio posadowioną nad istniejącym szybem), z certyfikacją nowych urządzeń oraz uzyskaniem stosownych decyzji UDT zezwalających na użytkowanie nowego dźwigu. 5. Sporządzenie dokumentacji powykonawczej nowego dźwigu wraz z kosztorysem powykonawczym sporządzonym metodą uproszczoną zgodnie z wymogami rozporządzenia Ministra Infrastruktury z dnia 18 mają 2004 r. w sprawie określania metod i podstaw sporządzania kosztorysu inwestorskiego, obliczania planowanych kosztów prac projektowych oraz planowanych kosztów robót budowlanych określonych w programie funkcjonalno – użytkowym. 6. Zakres rzeczowy zamówienia obejmuje również:: 1) zatwierdzenie zakresu prac w UDT, 2) wykonanie niezbędnych pomiarów elektrycznych, 3) odbiór przez UDT nowo zainstalowanego dźwigu towarowo-osobowego (wraz z kosztami odbioru) – dotyczy również napraw gwarancyjnych w zakresie wymagającym odbioru prac przez UDT. Koszty obowiązujących corocznych badań technicznych przez UDT będzie ponosił Zamawiający. 4) przeszkolenie wskazanych przez Zamawiającego pracowników w zakresie obsługi dźwigów oraz uwalniania pasażerów, 7. Przedmiot zamówienia należy zrealizować w oparciu o założenia określone w Programie Funkcjonalno – Użytkowych – załącznik no niniejszego protokołu. Zamawiający wskazuje, iż jeżeli w Programach Funkcjonalno - Użytkowych pojawiły się nazwy dostawców, producentów, materiałów, urządzeń lub ich elementy oznacza to, iż zostały one powołane przykładowo w celu ułatwienia przygotowania np. założeń projektowych. Zamawiający w takiej sytuacji dopuszcza zaoferowanie rozwiązań równoważnych, tj.: o właściwościach nie gorszych niż wskazane przez Zamawiającego. Każdorazowe zastosowanie rozwiązań równoważnych wymaga uzyskana akceptacji Zamawiającego.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lastRenderedPageBreak/>
        <w:t xml:space="preserve"> 2) Wspólny Słownik Zamówień(CPV): 45313100-5, 45000000-7, 42416100-6 , 45453000-7, 45111300-1 , 45111220-6, 71000000-8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3) Wartość części zamówienia(jeżeli zamawiający podaje informacje o wartości zamówienia):</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Wartość bez VAT: 345528,46</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Waluta: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4) Czas trwania lub termin wykonania: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okres w miesiącach: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okres w dniach: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data rozpoczęcia: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data zakończenia: 2017-11-30</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5) Kryteria oceny ofert: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Kryterium Znaczenie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cena 60,00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gwarancja 40,00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6) INFORMACJE DODATKOWE:</w:t>
      </w:r>
      <w:r>
        <w:rPr>
          <w:rFonts w:ascii="Trebuchet MS" w:hAnsi="Trebuchet MS"/>
          <w:sz w:val="20"/>
          <w:szCs w:val="20"/>
        </w:rPr>
        <w:t xml:space="preserve"> </w:t>
      </w:r>
      <w:r w:rsidRPr="006030C3">
        <w:rPr>
          <w:rFonts w:ascii="Trebuchet MS" w:hAnsi="Trebuchet MS"/>
          <w:sz w:val="20"/>
          <w:szCs w:val="20"/>
        </w:rPr>
        <w:t xml:space="preserve">Kryterium: „Okres Gwarancji” Okres gwarancji (G) 36 miesięcy * 0 pkt 48 miesięcy * 20 pkt 60 miesięcy i więcej * 40 pkt *wraz z materiałami eksploatacyjnymi przez 12 miesięcy w okresie udzielonej gwarancji – liczonych od dnia protokołu końcowego bez uwag Wykonawca w formularzu ofertowym zaznacza okres gwarancji, który może wynosić 36 lub 48 lub 60 miesięcy( lub więcej). Oferta z zaoferowanym okresem gwarancji 36 miesięcy otrzyma 0 punktów za to kryterium. Zaoferowanie okresu gwarancji krótszego niż 36 miesięcy skutkować będzie odrzuceniem oferty. Przekroczenie 60 miesięcy skutkować będzie przyznaniem z góry 40 pkt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Część nr:  2 Nazwa:  Wymiana dźwigu osobowego w segmencie K7 Samodzielnego Publicznego Szpitala Klinicznego Nr 6 Śląskiego Uniwersytetu Medycznego w Katowicach Górnośląskie Centrum Zdrowia Dziecka im. Jana Pawła II w celu dostosowania do potrzeb osób niepełnosprawnych”.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6030C3">
        <w:rPr>
          <w:rFonts w:ascii="Trebuchet MS" w:hAnsi="Trebuchet MS"/>
          <w:sz w:val="20"/>
          <w:szCs w:val="20"/>
        </w:rPr>
        <w:t>budowlane:Zakres</w:t>
      </w:r>
      <w:proofErr w:type="spellEnd"/>
      <w:r w:rsidRPr="006030C3">
        <w:rPr>
          <w:rFonts w:ascii="Trebuchet MS" w:hAnsi="Trebuchet MS"/>
          <w:sz w:val="20"/>
          <w:szCs w:val="20"/>
        </w:rPr>
        <w:t xml:space="preserve"> prac: 1. Sporządzenie dokumentacji projektowej wymiany urządzenia dźwigowego w segmencie K7 Szpitala wraz z uzyskaniem stosownych uzgodnień i zezwoleń wynikających z aktualnych przepisów prawa, sporządzenie projektów wykonawczych wraz ze specyfikacjami technicznymi wykonania i odbioru robót budowlanych. 2. Demontaż istniejącego w segmencie K7 dźwigu wraz z niezbędnymi rozbiórkami konstrukcji i ich utylizacją. 3. Adaptacja istniejącego w budynku szybu windowego do potrzeb nowego urządzenia dźwigowego w zakresie robót budowlanych, elektrycznych, teletechnicznych, i innych niezbędnych robót, które wynikną z opracowanych przez wykonawcę dokumentacji projektowej. 4. Dostawa i montaż dźwigu osobowego hydraulicznego w segmencie K7 z certyfikacją nowych urządzeń oraz uzyskaniem stosownych decyzji UDT zezwalających na użytkowanie nowego dźwigu. 5. Sporządzenie dokumentacji powykonawczej nowego dźwigu wraz z kosztorysem powykonawczym sporządzonym metodą uproszczoną zgodnie z wymogami rozporządzenia Ministra Infrastruktury z dnia 18 mają 2004 r. w sprawie określania metod i podstaw sporządzania kosztorysu inwestorskiego, obliczania planowanych kosztów prac projektowych oraz </w:t>
      </w:r>
      <w:r w:rsidRPr="006030C3">
        <w:rPr>
          <w:rFonts w:ascii="Trebuchet MS" w:hAnsi="Trebuchet MS"/>
          <w:sz w:val="20"/>
          <w:szCs w:val="20"/>
        </w:rPr>
        <w:lastRenderedPageBreak/>
        <w:t xml:space="preserve">planowanych kosztów robót budowlanych określonych w programie funkcjonalno – użytkowym. 6. Dźwig ma spełniać wymagania aktualnych przepisów prawa i norm technicznych stawianych dźwigom towarowo-osobowym dostosowanych do potrzeb osób niepełnosprawnych. Aktualnie użytkowany w segmencie K7 dźwig nie jest dźwigiem pożarowym i nie stanowi odrębnej strefy pożarowej. Nowy dźwig musi zapewniać zjazd pożarowy. Ognioodporność konstrukcji i elementów wykończeniowych winna spełniać wymagania przepisów obowiązującego Prawa Budowlanego oraz odpowiednich rozporządzeń wykonawczych. Zamawiający oczekuje energooszczędnych rozwiązań technicznych w tym również niskich kosztów eksploatacyjnych nowego dźwigu. 7. Zakres rzeczowy zamówienia obejmuje również:: 1) zatwierdzenie zakresu prac w UDT, 2) wykonanie pomiarów elektrycznych, 3) odbiór przez UDT nowo zainstalowanego dźwigu osobowego (wraz z kosztami odbioru) – dotyczy również napraw gwarancyjnych w zakresie wymagającym odbioru prac przez UDT. Koszty obowiązujących corocznych badań technicznych przez UDT będzie ponosił Zamawiający. 4) przeszkolenie wskazanych przez Zamawiającego pracowników w zakresie obsługi dźwigów oraz uwalniania pasażerów, 8. Przedmiot zamówienia należy zrealizować w oparciu o założenia określone w Programie Funkcjonalno – </w:t>
      </w:r>
      <w:proofErr w:type="spellStart"/>
      <w:r w:rsidRPr="006030C3">
        <w:rPr>
          <w:rFonts w:ascii="Trebuchet MS" w:hAnsi="Trebuchet MS"/>
          <w:sz w:val="20"/>
          <w:szCs w:val="20"/>
        </w:rPr>
        <w:t>Użytkowm</w:t>
      </w:r>
      <w:proofErr w:type="spellEnd"/>
      <w:r w:rsidRPr="006030C3">
        <w:rPr>
          <w:rFonts w:ascii="Trebuchet MS" w:hAnsi="Trebuchet MS"/>
          <w:sz w:val="20"/>
          <w:szCs w:val="20"/>
        </w:rPr>
        <w:t xml:space="preserve"> – załącznik no niniejszego protokołu.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2) Wspólny Słownik Zamówień(CPV): 45313100-5, 45000000-7, 42416100-6, 45453000-7, 45111300-1, 45111220-6, 71000000-8, 45000000-7</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3) Wartość części zamówienia(jeżeli zamawiający podaje informacje o wartości zamówienia):</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Wartość bez VAT: 113821,14</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Waluta: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PLN</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4) Czas trwania lub termin wykonania: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okres w miesiącach: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okres w dniach: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data rozpoczęcia: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data zakończenia: 2017-11-30</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5) Kryteria oceny ofert: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Kryterium Znaczenie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cena 60,00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gwarancja 40,00 </w:t>
      </w:r>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6) INFORMACJE </w:t>
      </w:r>
      <w:proofErr w:type="spellStart"/>
      <w:r w:rsidRPr="006030C3">
        <w:rPr>
          <w:rFonts w:ascii="Trebuchet MS" w:hAnsi="Trebuchet MS"/>
          <w:sz w:val="20"/>
          <w:szCs w:val="20"/>
        </w:rPr>
        <w:t>DODATKOWE:Kryterium</w:t>
      </w:r>
      <w:proofErr w:type="spellEnd"/>
      <w:r w:rsidRPr="006030C3">
        <w:rPr>
          <w:rFonts w:ascii="Trebuchet MS" w:hAnsi="Trebuchet MS"/>
          <w:sz w:val="20"/>
          <w:szCs w:val="20"/>
        </w:rPr>
        <w:t>: „Okres Gwarancji” Okres gwarancji (G) 36 miesięcy * 0 pkt 48 miesięcy * 20 pkt 60 miesięcy i więcej * 40 pkt *wraz z materiałami eksploatacyjnymi przez 12 miesięcy w okresie udzielonej gwarancji – liczonych od dnia protokołu końcowego bez uwag Wykonawca w formularzu ofertowym zaznacza okres gwarancji, który może wynosić 36 lub 48 lub 60 miesięcy( lub więcej). Oferta z zaoferowanym okresem gwarancji 36 miesięcy otrzyma 0 punktów za to kryterium. Zaoferowanie okresu gwarancji krótszego niż 36 miesięcy skutkować będzie odrzuceniem oferty. Przekroczenie 60 miesięcy skutkować będzie przyznaniem z góry 40 pkt</w:t>
      </w:r>
    </w:p>
    <w:p w:rsidR="006030C3" w:rsidRPr="006030C3" w:rsidRDefault="006030C3" w:rsidP="006030C3">
      <w:pPr>
        <w:spacing w:after="0" w:line="360" w:lineRule="auto"/>
        <w:jc w:val="both"/>
        <w:rPr>
          <w:rFonts w:ascii="Trebuchet MS" w:hAnsi="Trebuchet MS"/>
          <w:sz w:val="20"/>
          <w:szCs w:val="20"/>
        </w:rPr>
      </w:pPr>
      <w:bookmarkStart w:id="0" w:name="_GoBack"/>
      <w:bookmarkEnd w:id="0"/>
    </w:p>
    <w:p w:rsidR="006030C3" w:rsidRPr="006030C3" w:rsidRDefault="006030C3" w:rsidP="006030C3">
      <w:pPr>
        <w:spacing w:after="0" w:line="360" w:lineRule="auto"/>
        <w:jc w:val="both"/>
        <w:rPr>
          <w:rFonts w:ascii="Trebuchet MS" w:hAnsi="Trebuchet MS"/>
          <w:sz w:val="20"/>
          <w:szCs w:val="20"/>
        </w:rPr>
      </w:pPr>
      <w:r w:rsidRPr="006030C3">
        <w:rPr>
          <w:rFonts w:ascii="Trebuchet MS" w:hAnsi="Trebuchet MS"/>
          <w:sz w:val="20"/>
          <w:szCs w:val="20"/>
        </w:rPr>
        <w:t xml:space="preserve">  </w:t>
      </w:r>
    </w:p>
    <w:p w:rsidR="00B668CB" w:rsidRPr="006030C3" w:rsidRDefault="00B668CB" w:rsidP="006030C3">
      <w:pPr>
        <w:spacing w:after="0" w:line="360" w:lineRule="auto"/>
        <w:jc w:val="both"/>
        <w:rPr>
          <w:rFonts w:ascii="Trebuchet MS" w:hAnsi="Trebuchet MS"/>
          <w:sz w:val="20"/>
          <w:szCs w:val="20"/>
        </w:rPr>
      </w:pPr>
    </w:p>
    <w:sectPr w:rsidR="00B668CB" w:rsidRPr="00603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C3"/>
    <w:rsid w:val="006030C3"/>
    <w:rsid w:val="00B66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F68D6-7268-49B4-A65E-25E8D160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5807</Words>
  <Characters>34844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2017-07-06T11:40:00Z</dcterms:created>
  <dcterms:modified xsi:type="dcterms:W3CDTF">2017-07-06T11:45:00Z</dcterms:modified>
</cp:coreProperties>
</file>